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244F7E76" w:rsidR="00FB6147" w:rsidRPr="00264A99" w:rsidRDefault="00091712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</w:t>
      </w:r>
      <w:r w:rsidR="00290F2D" w:rsidRPr="00264A99">
        <w:rPr>
          <w:sz w:val="24"/>
          <w:szCs w:val="24"/>
          <w:lang w:eastAsia="vi-VN"/>
        </w:rPr>
        <w:t xml:space="preserve">VÀ </w:t>
      </w:r>
      <w:r>
        <w:rPr>
          <w:sz w:val="24"/>
          <w:szCs w:val="24"/>
          <w:lang w:eastAsia="vi-VN"/>
        </w:rPr>
        <w:t>ĐÀO TẠO</w:t>
      </w:r>
      <w:r w:rsidR="00FB6147" w:rsidRPr="00264A99">
        <w:rPr>
          <w:sz w:val="24"/>
          <w:szCs w:val="24"/>
          <w:lang w:eastAsia="vi-VN"/>
        </w:rPr>
        <w:t xml:space="preserve">                    </w:t>
      </w:r>
      <w:r w:rsidR="00517CEC">
        <w:rPr>
          <w:sz w:val="24"/>
          <w:szCs w:val="24"/>
          <w:lang w:eastAsia="vi-VN"/>
        </w:rPr>
        <w:t xml:space="preserve">         </w:t>
      </w:r>
      <w:r w:rsidR="00FB6147" w:rsidRPr="00264A99">
        <w:rPr>
          <w:sz w:val="24"/>
          <w:szCs w:val="24"/>
          <w:lang w:eastAsia="vi-VN"/>
        </w:rPr>
        <w:t xml:space="preserve">  </w:t>
      </w:r>
      <w:r>
        <w:rPr>
          <w:sz w:val="24"/>
          <w:szCs w:val="24"/>
          <w:lang w:eastAsia="vi-VN"/>
        </w:rPr>
        <w:t xml:space="preserve">              </w:t>
      </w:r>
      <w:r w:rsidR="00FB6147" w:rsidRPr="00264A99">
        <w:rPr>
          <w:sz w:val="24"/>
          <w:szCs w:val="24"/>
          <w:lang w:eastAsia="vi-VN"/>
        </w:rPr>
        <w:t xml:space="preserve">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75735063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091712">
        <w:rPr>
          <w:b/>
          <w:bCs/>
          <w:szCs w:val="28"/>
          <w:lang w:eastAsia="vi-VN"/>
        </w:rPr>
        <w:t>42</w:t>
      </w:r>
      <w:r w:rsidRPr="00264A99">
        <w:rPr>
          <w:b/>
          <w:bCs/>
          <w:szCs w:val="28"/>
          <w:lang w:eastAsia="vi-VN"/>
        </w:rPr>
        <w:t xml:space="preserve"> (</w:t>
      </w:r>
      <w:r w:rsidR="00091712">
        <w:rPr>
          <w:b/>
          <w:bCs/>
          <w:szCs w:val="28"/>
          <w:lang w:val="en-US" w:eastAsia="vi-VN"/>
        </w:rPr>
        <w:t>23</w:t>
      </w:r>
      <w:r w:rsidR="001A1114">
        <w:rPr>
          <w:b/>
          <w:bCs/>
          <w:szCs w:val="28"/>
          <w:lang w:val="en-US" w:eastAsia="vi-VN"/>
        </w:rPr>
        <w:t>/</w:t>
      </w:r>
      <w:r w:rsidR="004C2F96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091712">
        <w:rPr>
          <w:b/>
          <w:bCs/>
          <w:szCs w:val="28"/>
          <w:lang w:eastAsia="vi-VN"/>
        </w:rPr>
        <w:t>29</w:t>
      </w:r>
      <w:r w:rsidR="008F6279" w:rsidRPr="00264A99">
        <w:rPr>
          <w:b/>
          <w:bCs/>
          <w:szCs w:val="28"/>
          <w:lang w:eastAsia="vi-VN"/>
        </w:rPr>
        <w:t>/</w:t>
      </w:r>
      <w:r w:rsidR="00BC00E7">
        <w:rPr>
          <w:b/>
          <w:bCs/>
          <w:szCs w:val="28"/>
          <w:lang w:val="en-US" w:eastAsia="vi-VN"/>
        </w:rPr>
        <w:t>6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093A01BD" w:rsidR="0097571C" w:rsidRPr="00E42023" w:rsidRDefault="00091712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6CFB27A6" w:rsidR="00495ADE" w:rsidRPr="00495ADE" w:rsidRDefault="00091712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giao  ban BGH.</w:t>
            </w: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5A16025" w:rsidR="008109AA" w:rsidRPr="00E42023" w:rsidRDefault="00BB6C20" w:rsidP="006D7AA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24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6D7AA4">
            <w:pPr>
              <w:jc w:val="center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4F7A584E" w14:textId="335FC657" w:rsidR="00EC4A42" w:rsidRPr="00091712" w:rsidRDefault="002303FD" w:rsidP="00112168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9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Làm việc với </w:t>
            </w:r>
            <w:r w:rsidR="00BB6C20" w:rsidRPr="00BB6C2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Công ty Re-Ap Cambridge VN247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về </w:t>
            </w:r>
            <w:r w:rsidR="00FB42A5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hợp tác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đào tạo ngoại ngữ cho SV</w:t>
            </w:r>
            <w:r w:rsidRPr="004C2F9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BGH (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Trường); 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Trưởng các đơn vị: phòng </w:t>
            </w:r>
            <w:r w:rsid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ĐT và 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QLSV, phòng TCKT, Khoa Kinh tế </w:t>
            </w:r>
            <w:r w:rsid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và</w:t>
            </w:r>
            <w:r w:rsidR="00BB6C20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GDĐC; </w:t>
            </w: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15448511" w:rsidR="00C94550" w:rsidRPr="00E42023" w:rsidRDefault="00091712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2F96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42E4662" w14:textId="36A5302E" w:rsidR="007B0264" w:rsidRPr="00B7638B" w:rsidRDefault="003259FD" w:rsidP="00741F3E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3259FD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3259FD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tại P.206/92A-LTN: Họp HĐ thẩm định chương trình đào tạo nghề </w:t>
            </w:r>
            <w:r w:rsidRPr="003259FD">
              <w:rPr>
                <w:spacing w:val="3"/>
                <w:sz w:val="24"/>
                <w:szCs w:val="24"/>
                <w:shd w:val="clear" w:color="auto" w:fill="FFFFFF"/>
              </w:rPr>
              <w:t>Điện tử công nghiệp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. TP: Các thành viên của HĐ (theo QĐ số 120); mời Tổ soạn thảo cùng dự.</w:t>
            </w:r>
          </w:p>
        </w:tc>
        <w:tc>
          <w:tcPr>
            <w:tcW w:w="4395" w:type="dxa"/>
          </w:tcPr>
          <w:p w14:paraId="4E4EE6BB" w14:textId="2231B3E9" w:rsidR="00C94550" w:rsidRPr="00E42023" w:rsidRDefault="003259FD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- 14h00 tại P.206/92A-LTN: Họp HĐ thẩm định chương trình đào tạo nghề </w:t>
            </w:r>
            <w:r w:rsidRPr="003259FD">
              <w:rPr>
                <w:spacing w:val="3"/>
                <w:sz w:val="24"/>
                <w:szCs w:val="24"/>
                <w:shd w:val="clear" w:color="auto" w:fill="FFFFFF"/>
              </w:rPr>
              <w:t>Điện tử dân dụng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. TP: Các thành viên của HĐ (theo QĐ số 120); mời Tổ soạn thảo cùng dự.</w:t>
            </w:r>
          </w:p>
        </w:tc>
      </w:tr>
      <w:tr w:rsidR="003D0E59" w:rsidRPr="00264A99" w14:paraId="4485B475" w14:textId="77777777" w:rsidTr="008D6B25">
        <w:tc>
          <w:tcPr>
            <w:tcW w:w="1560" w:type="dxa"/>
          </w:tcPr>
          <w:p w14:paraId="269DCEF0" w14:textId="77777777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0ADEB121" w:rsidR="003D0E59" w:rsidRDefault="00091712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3D0E59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17297F72" w:rsidR="003D0E59" w:rsidRPr="00D40258" w:rsidRDefault="00326144" w:rsidP="00D40258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3259FD">
              <w:rPr>
                <w:spacing w:val="3"/>
                <w:sz w:val="24"/>
                <w:szCs w:val="24"/>
                <w:shd w:val="clear" w:color="auto" w:fill="FFFFFF"/>
              </w:rPr>
              <w:t>9</w:t>
            </w:r>
            <w:r w:rsidR="003259FD"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3259FD">
              <w:rPr>
                <w:spacing w:val="3"/>
                <w:sz w:val="24"/>
                <w:szCs w:val="24"/>
                <w:shd w:val="clear" w:color="auto" w:fill="FFFFFF"/>
              </w:rPr>
              <w:t>0</w:t>
            </w:r>
            <w:r w:rsidR="003259FD"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="00D40258" w:rsidRPr="00D40258">
              <w:rPr>
                <w:spacing w:val="3"/>
                <w:sz w:val="24"/>
                <w:szCs w:val="24"/>
                <w:shd w:val="clear" w:color="auto" w:fill="FFFFFF"/>
              </w:rPr>
              <w:t xml:space="preserve">Tiếp nhận thiết bị thực hành Điều khiển truyền động sử dụng PLC và HMI từ Công ty Cổ phần LKAT giải pháp điều khiển và </w:t>
            </w:r>
            <w:r w:rsidR="000806A8"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 w:rsidR="00D40258" w:rsidRPr="00D40258">
              <w:rPr>
                <w:spacing w:val="3"/>
                <w:sz w:val="24"/>
                <w:szCs w:val="24"/>
                <w:shd w:val="clear" w:color="auto" w:fill="FFFFFF"/>
              </w:rPr>
              <w:t xml:space="preserve">ông ty TNHH Slanvert Việt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Nam. </w:t>
            </w:r>
            <w:r w:rsidR="00D40258" w:rsidRPr="00D40258">
              <w:rPr>
                <w:spacing w:val="3"/>
                <w:sz w:val="24"/>
                <w:szCs w:val="24"/>
                <w:shd w:val="clear" w:color="auto" w:fill="FFFFFF"/>
              </w:rPr>
              <w:t>TP: BGH (a. N Long), lãnh đạo các đơn vị Khoa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D40258" w:rsidRPr="00D40258">
              <w:rPr>
                <w:spacing w:val="3"/>
                <w:sz w:val="24"/>
                <w:szCs w:val="24"/>
                <w:shd w:val="clear" w:color="auto" w:fill="FFFFFF"/>
              </w:rPr>
              <w:t>Điện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- </w:t>
            </w:r>
            <w:r w:rsidR="00D40258" w:rsidRPr="00D40258">
              <w:rPr>
                <w:spacing w:val="3"/>
                <w:sz w:val="24"/>
                <w:szCs w:val="24"/>
                <w:shd w:val="clear" w:color="auto" w:fill="FFFFFF"/>
              </w:rPr>
              <w:t>Điện tử, phòng: HCTC,TCKT, ĐT-QLSV, TT và HTQT.</w:t>
            </w:r>
          </w:p>
        </w:tc>
        <w:tc>
          <w:tcPr>
            <w:tcW w:w="4395" w:type="dxa"/>
          </w:tcPr>
          <w:p w14:paraId="7BD8BADD" w14:textId="5B42B80B" w:rsidR="003D0E59" w:rsidRPr="007B0320" w:rsidRDefault="003D0E59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14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7C0C8C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1712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Làm việc với công ty GZH về chương trình đào tạo theo dự án hợp tác. 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TP: 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BGH (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a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Trường); </w:t>
            </w:r>
            <w:r w:rsidR="00C25D13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</w:t>
            </w:r>
            <w:r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rưởng phòng </w:t>
            </w:r>
            <w:r w:rsidR="00B9681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ĐT-</w:t>
            </w:r>
            <w:r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QLSV; Lãnh đạo các khoa: Điện-ĐT, Cơ khí</w:t>
            </w:r>
            <w:r w:rsidR="0052521A"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và các giảng viên được phân công tham gia dự án.</w:t>
            </w:r>
            <w:r w:rsidRPr="00091712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3D0E59" w:rsidRPr="00264A99" w14:paraId="23B8818B" w14:textId="77777777" w:rsidTr="008D6B25">
        <w:tc>
          <w:tcPr>
            <w:tcW w:w="1560" w:type="dxa"/>
          </w:tcPr>
          <w:p w14:paraId="36A9D016" w14:textId="77777777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1E35D885" w:rsidR="003D0E59" w:rsidRPr="00264A99" w:rsidRDefault="00091712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3D0E59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363F7FE4" w:rsidR="003D0E59" w:rsidRPr="004C2F96" w:rsidRDefault="003D0E59" w:rsidP="003D0E59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4DA3F3A" w14:textId="7CF7AB1C" w:rsidR="003D0E59" w:rsidRPr="00B35A0E" w:rsidRDefault="006F3D3E" w:rsidP="003D0E59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- 15h</w:t>
            </w:r>
            <w:r w:rsidRPr="002303F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C0C8C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Hội đồng tuyển dụng nghe giảng của GV khoa CNTT (a. Đạt). TP: các thành viên HĐ. Mời lãnh đạo khoa cùng dự.</w:t>
            </w:r>
          </w:p>
        </w:tc>
      </w:tr>
      <w:tr w:rsidR="003D0E59" w:rsidRPr="00046F09" w14:paraId="56E6B23D" w14:textId="77777777" w:rsidTr="008D6B25">
        <w:tc>
          <w:tcPr>
            <w:tcW w:w="1560" w:type="dxa"/>
          </w:tcPr>
          <w:p w14:paraId="7961DCD5" w14:textId="07436B95" w:rsidR="003D0E59" w:rsidRPr="00046F09" w:rsidRDefault="003D0E59" w:rsidP="003D0E59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2860E1FD" w:rsidR="003D0E59" w:rsidRPr="00046F09" w:rsidRDefault="00091712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28</w:t>
            </w:r>
            <w:r w:rsidR="003D0E59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3D0E59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064729EF" w:rsidR="003D0E59" w:rsidRPr="00E62D3F" w:rsidRDefault="003D0E59" w:rsidP="003D0E59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3D0E59" w:rsidRPr="00046F09" w:rsidRDefault="003D0E59" w:rsidP="003D0E5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D0E59" w:rsidRPr="00046F09" w14:paraId="66A1BC98" w14:textId="77777777" w:rsidTr="008D6B25">
        <w:tc>
          <w:tcPr>
            <w:tcW w:w="1560" w:type="dxa"/>
          </w:tcPr>
          <w:p w14:paraId="4B044F0F" w14:textId="2AFD91D5" w:rsidR="003D0E59" w:rsidRPr="00046F09" w:rsidRDefault="003D0E59" w:rsidP="003D0E59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344738D6" w:rsidR="003D0E59" w:rsidRPr="00046F09" w:rsidRDefault="00091712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29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3D0E59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="003D0E59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3D0E59" w:rsidRPr="00046F09" w:rsidRDefault="003D0E59" w:rsidP="003D0E59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3D0E59" w:rsidRPr="00046F09" w:rsidRDefault="003D0E59" w:rsidP="003D0E59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483C4564" w14:textId="79B7EF8A" w:rsidR="003259FD" w:rsidRDefault="00936147" w:rsidP="003259FD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</w:t>
      </w:r>
      <w:r w:rsidR="003259FD">
        <w:rPr>
          <w:i/>
          <w:iCs/>
          <w:sz w:val="22"/>
          <w:szCs w:val="22"/>
        </w:rPr>
        <w:t>g</w:t>
      </w:r>
      <w:r w:rsidR="003259FD" w:rsidRPr="003259FD">
        <w:rPr>
          <w:i/>
          <w:iCs/>
          <w:sz w:val="22"/>
          <w:szCs w:val="22"/>
        </w:rPr>
        <w:t xml:space="preserve"> </w:t>
      </w:r>
      <w:r w:rsidR="003259FD" w:rsidRPr="00BC00E7">
        <w:rPr>
          <w:i/>
          <w:iCs/>
          <w:sz w:val="22"/>
          <w:szCs w:val="22"/>
        </w:rPr>
        <w:t>tác tuần sau về P. HCTC trước 11h thứ Sáu để tổng hợp báo cáo.</w:t>
      </w:r>
    </w:p>
    <w:p w14:paraId="57E58C5E" w14:textId="4B3EE7EB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p w14:paraId="6223A50E" w14:textId="77777777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p w14:paraId="254E7F1F" w14:textId="77777777" w:rsidR="003259FD" w:rsidRDefault="003259FD" w:rsidP="0067240C">
      <w:pPr>
        <w:textAlignment w:val="baseline"/>
        <w:rPr>
          <w:i/>
          <w:iCs/>
          <w:sz w:val="22"/>
          <w:szCs w:val="22"/>
        </w:rPr>
      </w:pPr>
    </w:p>
    <w:p w14:paraId="22D9BFA5" w14:textId="77777777" w:rsidR="003259FD" w:rsidRDefault="003259FD" w:rsidP="0067240C">
      <w:pPr>
        <w:textAlignment w:val="baseline"/>
        <w:rPr>
          <w:rFonts w:ascii="Segoe UI" w:hAnsi="Segoe UI" w:cs="Segoe UI"/>
          <w:color w:val="081B3A"/>
          <w:spacing w:val="3"/>
          <w:sz w:val="23"/>
          <w:szCs w:val="23"/>
          <w:shd w:val="clear" w:color="auto" w:fill="FFFFFF"/>
        </w:rPr>
      </w:pPr>
    </w:p>
    <w:p w14:paraId="1EF99F5D" w14:textId="77777777" w:rsidR="00D40258" w:rsidRDefault="00D40258" w:rsidP="003259FD">
      <w:pPr>
        <w:jc w:val="both"/>
        <w:textAlignment w:val="baseline"/>
        <w:rPr>
          <w:color w:val="081B3A"/>
          <w:spacing w:val="3"/>
          <w:sz w:val="24"/>
          <w:szCs w:val="24"/>
          <w:shd w:val="clear" w:color="auto" w:fill="FFFFFF"/>
        </w:rPr>
      </w:pPr>
    </w:p>
    <w:bookmarkEnd w:id="6"/>
    <w:p w14:paraId="77B6815C" w14:textId="77777777" w:rsidR="003259FD" w:rsidRDefault="003259FD" w:rsidP="003259FD">
      <w:pPr>
        <w:jc w:val="both"/>
        <w:textAlignment w:val="baseline"/>
        <w:rPr>
          <w:color w:val="081B3A"/>
          <w:spacing w:val="3"/>
          <w:sz w:val="24"/>
          <w:szCs w:val="24"/>
          <w:shd w:val="clear" w:color="auto" w:fill="FFFFFF"/>
        </w:rPr>
      </w:pPr>
    </w:p>
    <w:sectPr w:rsidR="003259FD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06A8"/>
    <w:rsid w:val="00083FE4"/>
    <w:rsid w:val="000861D6"/>
    <w:rsid w:val="0008643E"/>
    <w:rsid w:val="00091712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3D87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259FD"/>
    <w:rsid w:val="00326144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D3E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6816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258"/>
    <w:rsid w:val="00D40BF0"/>
    <w:rsid w:val="00D44950"/>
    <w:rsid w:val="00D452E9"/>
    <w:rsid w:val="00D454F3"/>
    <w:rsid w:val="00D45EC3"/>
    <w:rsid w:val="00D47784"/>
    <w:rsid w:val="00D531DD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PC</cp:lastModifiedBy>
  <cp:revision>5</cp:revision>
  <cp:lastPrinted>2024-11-04T01:13:00Z</cp:lastPrinted>
  <dcterms:created xsi:type="dcterms:W3CDTF">2025-06-20T07:11:00Z</dcterms:created>
  <dcterms:modified xsi:type="dcterms:W3CDTF">2025-06-20T10:01:00Z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